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ind w:firstLine="420"/>
        <w:jc w:val="center"/>
        <w:rPr>
          <w:rFonts w:ascii="方正小标宋简体" w:hAnsi="宋体" w:eastAsia="方正小标宋简体" w:cs="宋体"/>
          <w:bCs/>
          <w:color w:val="000000" w:themeColor="text1"/>
          <w:sz w:val="44"/>
          <w:szCs w:val="44"/>
          <w:shd w:val="clear" w:color="auto" w:fill="FFFFFF"/>
        </w:rPr>
      </w:pPr>
      <w:r>
        <w:rPr>
          <w:rFonts w:hint="eastAsia" w:ascii="方正小标宋简体" w:hAnsi="宋体" w:eastAsia="方正小标宋简体" w:cs="宋体"/>
          <w:bCs/>
          <w:color w:val="000000"/>
          <w:sz w:val="44"/>
          <w:szCs w:val="44"/>
          <w:shd w:val="clear" w:color="auto" w:fill="FFFFFF"/>
        </w:rPr>
        <w:t>哈尔滨市平房区营商环境建设监督局2020年政</w:t>
      </w:r>
      <w:r>
        <w:rPr>
          <w:rFonts w:hint="eastAsia" w:ascii="方正小标宋简体" w:hAnsi="宋体" w:eastAsia="方正小标宋简体" w:cs="宋体"/>
          <w:bCs/>
          <w:color w:val="000000" w:themeColor="text1"/>
          <w:sz w:val="44"/>
          <w:szCs w:val="44"/>
          <w:shd w:val="clear" w:color="auto" w:fill="FFFFFF"/>
        </w:rPr>
        <w:t>府信息</w:t>
      </w:r>
      <w:r>
        <w:rPr>
          <w:rFonts w:hint="eastAsia" w:ascii="方正小标宋简体" w:hAnsi="宋体" w:eastAsia="方正小标宋简体" w:cs="宋体"/>
          <w:bCs/>
          <w:color w:val="000000"/>
          <w:sz w:val="44"/>
          <w:szCs w:val="44"/>
          <w:shd w:val="clear" w:color="auto" w:fill="FFFFFF"/>
        </w:rPr>
        <w:t>公开工作年度报告</w:t>
      </w:r>
    </w:p>
    <w:p>
      <w:pPr>
        <w:pStyle w:val="5"/>
        <w:widowControl/>
        <w:shd w:val="clear" w:color="auto" w:fill="FFFFFF"/>
        <w:spacing w:before="0" w:beforeAutospacing="0" w:after="0" w:afterAutospacing="0"/>
        <w:ind w:firstLine="640" w:firstLineChars="200"/>
        <w:jc w:val="both"/>
        <w:rPr>
          <w:rFonts w:ascii="黑体" w:hAnsi="黑体" w:eastAsia="黑体" w:cs="宋体"/>
          <w:color w:val="000000" w:themeColor="text1"/>
          <w:sz w:val="32"/>
          <w:szCs w:val="32"/>
        </w:rPr>
      </w:pPr>
      <w:r>
        <w:rPr>
          <w:rFonts w:hint="eastAsia" w:ascii="仿宋_GB2312" w:eastAsia="仿宋_GB2312"/>
          <w:color w:val="000000" w:themeColor="text1"/>
          <w:sz w:val="32"/>
          <w:szCs w:val="32"/>
        </w:rPr>
        <w:t>本报告依据《中华人民共和国政府信息公开条例》（国务院令第711号，以下简称（新《条例》）》)和《国务院办公厅政府信息与政务公开办公室关于政府信息公开工作年度报告有关事项的通知》(国办公开办函[2019]60号)要求编制而成。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2020年1月1日至12月31日，报告的电子版可在哈尔滨市平房区人民政府政府信息公开网（http://pfqxxgk.harbin.gov.cn/col/col12396/index.html）下载。如对本报告有任何疑问，请与平房区营商环境建设监督局办公室联系（地址：哈尔滨市平房区新疆西路2号3楼营商局办公室，电话：0451--82295132，邮编：150060）。</w:t>
      </w:r>
    </w:p>
    <w:p>
      <w:pPr>
        <w:pStyle w:val="5"/>
        <w:widowControl/>
        <w:numPr>
          <w:ilvl w:val="0"/>
          <w:numId w:val="1"/>
        </w:numPr>
        <w:shd w:val="clear" w:color="auto" w:fill="FFFFFF"/>
        <w:spacing w:before="0" w:beforeAutospacing="0" w:after="0" w:afterAutospacing="0"/>
        <w:jc w:val="both"/>
        <w:rPr>
          <w:rFonts w:ascii="黑体" w:hAnsi="黑体" w:eastAsia="黑体" w:cs="宋体"/>
          <w:bCs/>
          <w:color w:val="000000" w:themeColor="text1"/>
          <w:sz w:val="32"/>
          <w:szCs w:val="32"/>
          <w:shd w:val="clear" w:color="auto" w:fill="FFFFFF"/>
        </w:rPr>
      </w:pPr>
      <w:r>
        <w:rPr>
          <w:rFonts w:hint="eastAsia" w:ascii="黑体" w:hAnsi="黑体" w:eastAsia="黑体" w:cs="宋体"/>
          <w:bCs/>
          <w:color w:val="000000" w:themeColor="text1"/>
          <w:sz w:val="32"/>
          <w:szCs w:val="32"/>
          <w:shd w:val="clear" w:color="auto" w:fill="FFFFFF"/>
        </w:rPr>
        <w:t>总体情况</w:t>
      </w:r>
    </w:p>
    <w:p>
      <w:pPr>
        <w:pStyle w:val="9"/>
        <w:ind w:firstLine="64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2020年，平房区营商环境建设监督局深入学习贯彻党的十九大、十九届三中、四中、五中全会精神，以习近平新时代中国特色社会主义思想为指引，认真落实党中央、国务院、省、市、县关于全面推进政务公开工作的系列部署，严格履行《新条例》法定义务，按照区营商环境建设监督局职能职责和工作任务，围绕区政府重点领域和基层政务公开标准化规范化工作，坚持应公开、尽公开，全年主动公开信息138条。</w:t>
      </w:r>
    </w:p>
    <w:p>
      <w:pPr>
        <w:pStyle w:val="9"/>
        <w:ind w:firstLine="64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（一）主动公开方面</w:t>
      </w:r>
    </w:p>
    <w:p>
      <w:pPr>
        <w:pStyle w:val="9"/>
        <w:ind w:firstLine="64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一是做好政府信息公开栏目的更新维护工作，积极推进政府重点领域信息公开和基层政务公开标准化规范化数据信息发布工作。及时公开本单位公开发布的文件、简报和各项工作任务落实进度和完成情况，主动回应社会关切，按要求及时公开部门财政预决算。本单位2020年未制定规范性文件。</w:t>
      </w:r>
    </w:p>
    <w:p>
      <w:pPr>
        <w:pStyle w:val="9"/>
        <w:ind w:firstLine="64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二是贯彻两个条例，全力打造营商发展好环境。为深入贯彻落实国家和省《优化营商环境条例》，在全省第一个启动了第三方区域营商环境评价工作，设定17项一级评价指标，5个专项评估评价报告陆续出炉，为对标对表北京、上海、深圳、杭州等先进地区提供了可量化、可改进的方法路径；搭建全省第一企业诉求服务平台，聘请26名营商环境建设特约监督员，选定30个营商环境监测点，发放5000余张企业联系服务卡，企业可通过扫码进入诉求平台，在手机端可随时反映诉求，受理办理全程透明化，举办面向企业的政策发布会4期，为畅通企业诉求渠道、保障企业合法权益奠定了坚实的民意基础；在全省首推审批大厅和社区中心综合窗口改革，该项改革成功经验已在全省进行复制推广；开展“无证明城区”创建活动，企业和百姓办事需提供证明材料由50余项减至2项，尤其是困扰百姓多年的住改商需街道社区提供的证明一并取消，收到了良好的社会反响，省营商局已将该项改革列入年内在全省进行复制推广的重点改革经验；在全省搭建了第一个区级信用平台“哈南信用”，全区九街一镇政务诚信创建活动被纳入全市改革试点；通过优流程、减材料、压环节改革打造一流企业开办证照核发审批速度，企业开办全流程0.5个工作日内办结，网上申请商事登记事项实现30分钟内回推电子证照；在全省、全市首推“场景式服务主题”事项，全年公布事项120项，推动“办事不求人”事项800个，做到了百姓办事 “找谁都一样，谁找都一样”，实现了群众办事“只进一门、只到一窗、只上一网”，做到了小事不出门、大事不出街（社区）。</w:t>
      </w:r>
    </w:p>
    <w:p>
      <w:pPr>
        <w:pStyle w:val="9"/>
        <w:ind w:firstLine="64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三是立足三个环境，推出一批首创改革项目。为进一步优化政务环境、法治环境和市场环境，切实推动“网上办”向“掌上办”转变、“大厅办”向“自助办”转变、“社区办”向“门口办”转变，区营商局推出了一批首创改革项目，把打造营商环境“升级版”作为克服疫情影响、支持企业健康稳定发展的有力抓手，更大程度激发市场活力和社会创造力，助推高质量发展行稳致远。集合了交警、户政、出入境、社保、工商、税务等业务的24小时综合政务服务自助大厅正式开通运行，在全省首开“7*24”全天候、全时段、全领域政务服务新模式；继松北之后，依托“智慧城市”建设打造的一体化“整体政府”，以“掌上政府、指尖服务、刷脸办事”为目标，立足三个领域（商事登记、民生服务和特种设备监管）、围绕三个重点（有限责任公司开办、变更和备案）、依托三个终端（PC端、移动端和自助端）、涵盖三个大厅（经开区企业服务大厅、建设审批大厅和平房区民生服务大厅），在37项高频堵点痛点领域实现了“秒批”，该项改革较之松北区相比服务领域更宽、审批事项更多、智能化程度更高，实现了“人工审批”向“无人审批”转变，有效满足了民众对于快速办理，多种渠道办理的需求；为在疫情防控常态化下促进企业复工复产，落实</w:t>
      </w:r>
      <w:r>
        <w:rPr>
          <w:rFonts w:hint="eastAsia" w:ascii="仿宋_GB2312" w:eastAsia="仿宋_GB2312"/>
          <w:color w:val="000000" w:themeColor="text1"/>
          <w:kern w:val="0"/>
          <w:sz w:val="32"/>
          <w:szCs w:val="32"/>
          <w:lang w:val="en-US" w:eastAsia="zh-CN"/>
        </w:rPr>
        <w:t>习近平</w:t>
      </w:r>
      <w:bookmarkStart w:id="0" w:name="_GoBack"/>
      <w:bookmarkEnd w:id="0"/>
      <w:r>
        <w:rPr>
          <w:rFonts w:hint="eastAsia" w:ascii="仿宋_GB2312" w:eastAsia="仿宋_GB2312"/>
          <w:color w:val="000000" w:themeColor="text1"/>
          <w:kern w:val="0"/>
          <w:sz w:val="32"/>
          <w:szCs w:val="32"/>
        </w:rPr>
        <w:t>总书记“危机中育新机”“变局中开新局”的指示要求，区营商局协同建设审批大厅在全市率先开展“承诺即开工”改革，按照“统一清单告知、统一平台受理、统一流程再造、统一多图联审、统一收费管理”的基本思路，制定了全区承诺即开工实施方案和审批流程，社会投资类工业项目和仓储物流项目在取得黄证、绿证后，只要做出承诺即可发放施工许可进入建设阶段，通过缩减流程和办事环节，使社会投资类工业项目全流程审批时间压缩在20个工作日以内，其他工程类项目全流程审批时间压缩在50个工作日以内。</w:t>
      </w:r>
    </w:p>
    <w:p>
      <w:pPr>
        <w:pStyle w:val="9"/>
        <w:ind w:firstLine="64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（二）依申请公开</w:t>
      </w:r>
    </w:p>
    <w:p>
      <w:pPr>
        <w:pStyle w:val="9"/>
        <w:ind w:firstLine="64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我局认真贯彻新《条例》要求，全面做好依申请公开工作， 2020年未收到政府信息公开申请。</w:t>
      </w:r>
    </w:p>
    <w:p>
      <w:pPr>
        <w:pStyle w:val="9"/>
        <w:ind w:firstLine="64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（三）政府信息管理</w:t>
      </w:r>
    </w:p>
    <w:p>
      <w:pPr>
        <w:pStyle w:val="9"/>
        <w:ind w:firstLine="64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以政府信息主动公开目录和政务公开考评指标体系为抓手，完善本职工作，加强公开信息的管理，进一步规范了政府信息发布流程，加强信息发布前审查。建立健全政府信息公开审查机制和工作规程,信息从产生到公开需通过发布员、审核员严控把关。同时为进一步提高政务公开的信息质量，对所公开事项内容进行审核、把关，确保公开内容的合法性、准确性、严肃性，确保公开的范围、形式、时限、程序符合要求。</w:t>
      </w:r>
    </w:p>
    <w:p>
      <w:pPr>
        <w:pStyle w:val="9"/>
        <w:ind w:firstLine="64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（四）平台建设</w:t>
      </w:r>
    </w:p>
    <w:p>
      <w:pPr>
        <w:pStyle w:val="9"/>
        <w:ind w:firstLine="64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按照上级部门要求，如期完成政府信息公开栏目改版工作，进一步优化网站功能,调整、规范完善主动公开基本目录,方便群众查阅各项公开情况。</w:t>
      </w:r>
    </w:p>
    <w:p>
      <w:pPr>
        <w:pStyle w:val="9"/>
        <w:ind w:firstLine="64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（五）监督保障</w:t>
      </w:r>
    </w:p>
    <w:p>
      <w:pPr>
        <w:pStyle w:val="9"/>
        <w:ind w:firstLine="64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成立了政务公开领导小组，明确了工作职责，细化了工作任务。规范单位信息发布流程，加强信息发布前审查，建立健全政府信息公开审查机制和工作规程。进一步提高政务公开的信息质量，定期检查信息错别字、敏感词风险、隐私泄露风险、错链死链与空白栏目等，按要求积极整改区政务公开办及第三方监测反馈问题。</w:t>
      </w:r>
    </w:p>
    <w:p>
      <w:pPr>
        <w:pStyle w:val="5"/>
        <w:widowControl/>
        <w:shd w:val="clear" w:color="auto" w:fill="FFFFFF"/>
        <w:spacing w:before="0" w:beforeAutospacing="0" w:after="240" w:afterAutospacing="0"/>
        <w:ind w:firstLine="420"/>
        <w:jc w:val="both"/>
        <w:rPr>
          <w:rFonts w:ascii="黑体" w:hAnsi="黑体" w:eastAsia="黑体" w:cs="宋体"/>
          <w:color w:val="000000" w:themeColor="text1"/>
          <w:sz w:val="32"/>
          <w:szCs w:val="32"/>
        </w:rPr>
      </w:pPr>
      <w:r>
        <w:rPr>
          <w:rFonts w:hint="eastAsia" w:ascii="黑体" w:hAnsi="黑体" w:eastAsia="黑体" w:cs="宋体"/>
          <w:bCs/>
          <w:color w:val="000000" w:themeColor="text1"/>
          <w:sz w:val="32"/>
          <w:szCs w:val="32"/>
          <w:shd w:val="clear" w:color="auto" w:fill="FFFFFF"/>
        </w:rPr>
        <w:t>二、主动公开政府信息情况</w:t>
      </w:r>
    </w:p>
    <w:tbl>
      <w:tblPr>
        <w:tblStyle w:val="6"/>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本年新</w:t>
            </w:r>
            <w:r>
              <w:rPr>
                <w:rFonts w:hint="eastAsia" w:ascii="宋体" w:hAnsi="宋体" w:cs="宋体"/>
                <w:color w:val="000000" w:themeColor="text1"/>
                <w:kern w:val="0"/>
                <w:sz w:val="20"/>
                <w:szCs w:val="20"/>
              </w:rPr>
              <w:br w:type="textWrapping"/>
            </w:r>
            <w:r>
              <w:rPr>
                <w:color w:val="000000" w:themeColor="text1"/>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本年新</w:t>
            </w:r>
            <w:r>
              <w:rPr>
                <w:rFonts w:hint="eastAsia" w:ascii="宋体" w:hAnsi="宋体" w:cs="宋体"/>
                <w:color w:val="000000" w:themeColor="text1"/>
                <w:kern w:val="0"/>
                <w:sz w:val="20"/>
                <w:szCs w:val="20"/>
              </w:rPr>
              <w:br w:type="textWrapping"/>
            </w:r>
            <w:r>
              <w:rPr>
                <w:color w:val="000000" w:themeColor="text1"/>
                <w:kern w:val="0"/>
                <w:sz w:val="20"/>
                <w:szCs w:val="20"/>
              </w:rPr>
              <w:t>公开数量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　　0</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 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　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　　0</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 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　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行政许可</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　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　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　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　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　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　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行政处罚</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　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　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　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行政强制</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　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　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　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行政事业性收费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　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 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政府集中采购</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0"/>
                <w:szCs w:val="20"/>
              </w:rPr>
              <w:t>468.016万元</w:t>
            </w:r>
          </w:p>
        </w:tc>
      </w:tr>
    </w:tbl>
    <w:p>
      <w:pPr>
        <w:pStyle w:val="5"/>
        <w:widowControl/>
        <w:shd w:val="clear" w:color="auto" w:fill="FFFFFF"/>
        <w:spacing w:before="0" w:beforeAutospacing="0" w:after="240" w:afterAutospacing="0"/>
        <w:ind w:firstLine="420"/>
        <w:jc w:val="both"/>
        <w:rPr>
          <w:rFonts w:ascii="黑体" w:hAnsi="黑体" w:eastAsia="黑体" w:cs="宋体"/>
          <w:color w:val="000000" w:themeColor="text1"/>
          <w:sz w:val="32"/>
          <w:szCs w:val="32"/>
        </w:rPr>
      </w:pPr>
      <w:r>
        <w:rPr>
          <w:rFonts w:hint="eastAsia" w:ascii="黑体" w:hAnsi="黑体" w:eastAsia="黑体" w:cs="宋体"/>
          <w:bCs/>
          <w:color w:val="000000" w:themeColor="text1"/>
          <w:sz w:val="32"/>
          <w:szCs w:val="32"/>
          <w:shd w:val="clear" w:color="auto" w:fill="FFFFFF"/>
        </w:rPr>
        <w:t>三、收到和处理政府信息公开申请情况</w:t>
      </w:r>
    </w:p>
    <w:tbl>
      <w:tblPr>
        <w:tblStyle w:val="6"/>
        <w:tblW w:w="906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7"/>
        <w:gridCol w:w="854"/>
        <w:gridCol w:w="2086"/>
        <w:gridCol w:w="813"/>
        <w:gridCol w:w="755"/>
        <w:gridCol w:w="755"/>
        <w:gridCol w:w="813"/>
        <w:gridCol w:w="973"/>
        <w:gridCol w:w="711"/>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7"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（本列数据的勾稽关系为：第一项加第二项之和，等于第三项加第四项之和）</w:t>
            </w:r>
          </w:p>
        </w:tc>
        <w:tc>
          <w:tcPr>
            <w:tcW w:w="5508" w:type="dxa"/>
            <w:gridSpan w:val="7"/>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7"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813"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自然人</w:t>
            </w:r>
          </w:p>
        </w:tc>
        <w:tc>
          <w:tcPr>
            <w:tcW w:w="400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法人或其他组织</w:t>
            </w:r>
          </w:p>
        </w:tc>
        <w:tc>
          <w:tcPr>
            <w:tcW w:w="68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7"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813"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商业企业</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科研机构</w:t>
            </w:r>
          </w:p>
        </w:tc>
        <w:tc>
          <w:tcPr>
            <w:tcW w:w="813"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社会公益组织</w:t>
            </w:r>
          </w:p>
        </w:tc>
        <w:tc>
          <w:tcPr>
            <w:tcW w:w="973"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法律服务机构</w:t>
            </w:r>
          </w:p>
        </w:tc>
        <w:tc>
          <w:tcPr>
            <w:tcW w:w="711"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其他</w:t>
            </w:r>
          </w:p>
        </w:tc>
        <w:tc>
          <w:tcPr>
            <w:tcW w:w="68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color w:val="000000" w:themeColor="text1"/>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一、本年新收政府信息公开申请数量</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cs="Calibri"/>
                <w:color w:val="000000" w:themeColor="text1"/>
                <w:kern w:val="0"/>
                <w:sz w:val="20"/>
                <w:szCs w:val="20"/>
              </w:rPr>
              <w:t>0</w:t>
            </w:r>
            <w:r>
              <w:rPr>
                <w:rFonts w:cs="Calibri"/>
                <w:color w:val="000000" w:themeColor="text1"/>
                <w:kern w:val="0"/>
                <w:sz w:val="20"/>
                <w:szCs w:val="20"/>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cs="Calibri"/>
                <w:color w:val="000000" w:themeColor="text1"/>
                <w:kern w:val="0"/>
                <w:sz w:val="20"/>
                <w:szCs w:val="20"/>
              </w:rPr>
              <w:t>0</w:t>
            </w:r>
            <w:r>
              <w:rPr>
                <w:rFonts w:cs="Calibri"/>
                <w:color w:val="000000" w:themeColor="text1"/>
                <w:kern w:val="0"/>
                <w:sz w:val="20"/>
                <w:szCs w:val="20"/>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二、上年结转政府信息公开申请数量</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三、本年度办理结果</w:t>
            </w: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ascii="楷体" w:hAnsi="楷体" w:eastAsia="楷体" w:cs="楷体"/>
                <w:color w:val="000000" w:themeColor="text1"/>
                <w:kern w:val="0"/>
                <w:sz w:val="20"/>
                <w:szCs w:val="20"/>
              </w:rPr>
              <w:t>（一）予以公开</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楷体" w:hAnsi="楷体" w:eastAsia="楷体" w:cs="楷体"/>
                <w:color w:val="000000" w:themeColor="text1"/>
                <w:kern w:val="0"/>
                <w:sz w:val="20"/>
                <w:szCs w:val="20"/>
              </w:rPr>
              <w:t>（二）部分公开（区分处理的，只计这一情形，不计其他情形）</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cs="Calibri"/>
                <w:color w:val="000000" w:themeColor="text1"/>
                <w:kern w:val="0"/>
                <w:sz w:val="20"/>
                <w:szCs w:val="20"/>
              </w:rPr>
              <w:t>0</w:t>
            </w:r>
            <w:r>
              <w:rPr>
                <w:rFonts w:cs="Calibri"/>
                <w:color w:val="000000" w:themeColor="text1"/>
                <w:kern w:val="0"/>
                <w:sz w:val="20"/>
                <w:szCs w:val="20"/>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楷体" w:hAnsi="楷体" w:eastAsia="楷体" w:cs="楷体"/>
                <w:color w:val="000000" w:themeColor="text1"/>
                <w:kern w:val="0"/>
                <w:sz w:val="20"/>
                <w:szCs w:val="20"/>
              </w:rPr>
              <w:t>（三）不予公开</w:t>
            </w: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楷体" w:hAnsi="楷体" w:eastAsia="楷体" w:cs="楷体"/>
                <w:color w:val="000000" w:themeColor="text1"/>
                <w:kern w:val="0"/>
                <w:sz w:val="20"/>
                <w:szCs w:val="20"/>
              </w:rPr>
              <w:t>1.属于国家秘密</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cs="Calibri"/>
                <w:color w:val="000000" w:themeColor="text1"/>
                <w:kern w:val="0"/>
                <w:sz w:val="20"/>
                <w:szCs w:val="20"/>
              </w:rPr>
              <w:t>0</w:t>
            </w:r>
            <w:r>
              <w:rPr>
                <w:rFonts w:cs="Calibri"/>
                <w:color w:val="000000" w:themeColor="text1"/>
                <w:kern w:val="0"/>
                <w:sz w:val="20"/>
                <w:szCs w:val="20"/>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cs="Calibri"/>
                <w:color w:val="000000" w:themeColor="text1"/>
                <w:kern w:val="0"/>
                <w:sz w:val="20"/>
                <w:szCs w:val="20"/>
              </w:rPr>
              <w:t>0</w:t>
            </w:r>
            <w:r>
              <w:rPr>
                <w:rFonts w:cs="Calibri"/>
                <w:color w:val="000000" w:themeColor="text1"/>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楷体" w:hAnsi="楷体" w:eastAsia="楷体" w:cs="楷体"/>
                <w:color w:val="000000" w:themeColor="text1"/>
                <w:kern w:val="0"/>
                <w:sz w:val="20"/>
                <w:szCs w:val="20"/>
              </w:rPr>
              <w:t>2.其他法律行政法规禁止公开</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cs="Calibri"/>
                <w:color w:val="000000" w:themeColor="text1"/>
                <w:kern w:val="0"/>
                <w:sz w:val="20"/>
                <w:szCs w:val="20"/>
              </w:rPr>
              <w:t>0</w:t>
            </w:r>
            <w:r>
              <w:rPr>
                <w:rFonts w:cs="Calibri"/>
                <w:color w:val="000000" w:themeColor="text1"/>
                <w:kern w:val="0"/>
                <w:sz w:val="20"/>
                <w:szCs w:val="20"/>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cs="Calibri"/>
                <w:color w:val="000000" w:themeColor="text1"/>
                <w:kern w:val="0"/>
                <w:sz w:val="20"/>
                <w:szCs w:val="20"/>
              </w:rPr>
              <w:t>0</w:t>
            </w:r>
            <w:r>
              <w:rPr>
                <w:rFonts w:cs="Calibri"/>
                <w:color w:val="000000" w:themeColor="text1"/>
                <w:kern w:val="0"/>
                <w:sz w:val="20"/>
                <w:szCs w:val="20"/>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cs="Calibri"/>
                <w:color w:val="000000" w:themeColor="text1"/>
                <w:kern w:val="0"/>
                <w:sz w:val="20"/>
                <w:szCs w:val="20"/>
              </w:rPr>
              <w:t>0</w:t>
            </w:r>
            <w:r>
              <w:rPr>
                <w:rFonts w:cs="Calibri"/>
                <w:color w:val="000000" w:themeColor="text1"/>
                <w:kern w:val="0"/>
                <w:sz w:val="20"/>
                <w:szCs w:val="20"/>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cs="Calibri"/>
                <w:color w:val="000000" w:themeColor="text1"/>
                <w:kern w:val="0"/>
                <w:sz w:val="20"/>
                <w:szCs w:val="20"/>
              </w:rPr>
              <w:t>0</w:t>
            </w:r>
            <w:r>
              <w:rPr>
                <w:rFonts w:cs="Calibri"/>
                <w:color w:val="000000" w:themeColor="text1"/>
                <w:kern w:val="0"/>
                <w:sz w:val="20"/>
                <w:szCs w:val="20"/>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楷体" w:hAnsi="楷体" w:eastAsia="楷体" w:cs="楷体"/>
                <w:color w:val="000000" w:themeColor="text1"/>
                <w:kern w:val="0"/>
                <w:sz w:val="20"/>
                <w:szCs w:val="20"/>
              </w:rPr>
              <w:t>3.危及“三安全一稳定”</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cs="Calibri"/>
                <w:color w:val="000000" w:themeColor="text1"/>
                <w:kern w:val="0"/>
                <w:sz w:val="20"/>
                <w:szCs w:val="20"/>
              </w:rPr>
              <w:t>0</w:t>
            </w:r>
            <w:r>
              <w:rPr>
                <w:rFonts w:cs="Calibri"/>
                <w:color w:val="000000" w:themeColor="text1"/>
                <w:kern w:val="0"/>
                <w:sz w:val="20"/>
                <w:szCs w:val="20"/>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楷体" w:hAnsi="楷体" w:eastAsia="楷体" w:cs="楷体"/>
                <w:color w:val="000000" w:themeColor="text1"/>
                <w:kern w:val="0"/>
                <w:sz w:val="20"/>
                <w:szCs w:val="20"/>
              </w:rPr>
              <w:t>4.保护第三方合法权益</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cs="Calibri"/>
                <w:color w:val="000000" w:themeColor="text1"/>
                <w:kern w:val="0"/>
                <w:sz w:val="20"/>
                <w:szCs w:val="20"/>
              </w:rPr>
              <w:t>0</w:t>
            </w:r>
            <w:r>
              <w:rPr>
                <w:rFonts w:cs="Calibri"/>
                <w:color w:val="000000" w:themeColor="text1"/>
                <w:kern w:val="0"/>
                <w:sz w:val="20"/>
                <w:szCs w:val="20"/>
              </w:rPr>
              <w:t> </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楷体" w:hAnsi="楷体" w:eastAsia="楷体" w:cs="楷体"/>
                <w:color w:val="000000" w:themeColor="text1"/>
                <w:kern w:val="0"/>
                <w:sz w:val="20"/>
                <w:szCs w:val="20"/>
              </w:rPr>
              <w:t>5.属于三类内部事务信息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cs="Calibri"/>
                <w:color w:val="000000" w:themeColor="text1"/>
                <w:kern w:val="0"/>
                <w:sz w:val="20"/>
                <w:szCs w:val="20"/>
              </w:rPr>
              <w:t>0</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cs="Calibri"/>
                <w:color w:val="000000" w:themeColor="text1"/>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楷体" w:hAnsi="楷体" w:eastAsia="楷体" w:cs="楷体"/>
                <w:color w:val="000000" w:themeColor="text1"/>
                <w:kern w:val="0"/>
                <w:sz w:val="20"/>
                <w:szCs w:val="20"/>
              </w:rPr>
              <w:t>6.属于四类过程性信息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楷体" w:hAnsi="楷体" w:eastAsia="楷体" w:cs="楷体"/>
                <w:color w:val="000000" w:themeColor="text1"/>
                <w:kern w:val="0"/>
                <w:sz w:val="20"/>
                <w:szCs w:val="20"/>
              </w:rPr>
              <w:t>7.属于行政执法案卷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楷体" w:hAnsi="楷体" w:eastAsia="楷体" w:cs="楷体"/>
                <w:color w:val="000000" w:themeColor="text1"/>
                <w:kern w:val="0"/>
                <w:sz w:val="20"/>
                <w:szCs w:val="20"/>
              </w:rPr>
              <w:t>8.属于行政查询事项</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楷体" w:hAnsi="楷体" w:eastAsia="楷体" w:cs="楷体"/>
                <w:color w:val="000000" w:themeColor="text1"/>
                <w:kern w:val="0"/>
                <w:sz w:val="20"/>
                <w:szCs w:val="20"/>
              </w:rPr>
              <w:t>（四）无法提供</w:t>
            </w: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楷体" w:hAnsi="楷体" w:eastAsia="楷体" w:cs="楷体"/>
                <w:color w:val="000000" w:themeColor="text1"/>
                <w:kern w:val="0"/>
                <w:sz w:val="20"/>
                <w:szCs w:val="20"/>
              </w:rPr>
              <w:t>1.本机关不掌握相关政府信息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楷体" w:hAnsi="楷体" w:eastAsia="楷体" w:cs="楷体"/>
                <w:color w:val="000000" w:themeColor="text1"/>
                <w:kern w:val="0"/>
                <w:sz w:val="20"/>
                <w:szCs w:val="20"/>
              </w:rPr>
              <w:t>2.没有现成信息需要另行制作</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楷体" w:hAnsi="楷体" w:eastAsia="楷体" w:cs="楷体"/>
                <w:color w:val="000000" w:themeColor="text1"/>
                <w:kern w:val="0"/>
                <w:sz w:val="20"/>
                <w:szCs w:val="20"/>
              </w:rPr>
              <w:t>3.补正后申请内容仍不明确</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楷体" w:hAnsi="楷体" w:eastAsia="楷体" w:cs="楷体"/>
                <w:color w:val="000000" w:themeColor="text1"/>
                <w:kern w:val="0"/>
                <w:sz w:val="20"/>
                <w:szCs w:val="20"/>
              </w:rPr>
              <w:t>（五）不予处理</w:t>
            </w: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楷体" w:hAnsi="楷体" w:eastAsia="楷体" w:cs="楷体"/>
                <w:color w:val="000000" w:themeColor="text1"/>
                <w:kern w:val="0"/>
                <w:sz w:val="20"/>
                <w:szCs w:val="20"/>
              </w:rPr>
              <w:t>1.信访举报投诉类申请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楷体" w:hAnsi="楷体" w:eastAsia="楷体" w:cs="楷体"/>
                <w:color w:val="000000" w:themeColor="text1"/>
                <w:kern w:val="0"/>
                <w:sz w:val="20"/>
                <w:szCs w:val="20"/>
              </w:rPr>
              <w:t>2.重复申请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楷体" w:hAnsi="楷体" w:eastAsia="楷体" w:cs="楷体"/>
                <w:color w:val="000000" w:themeColor="text1"/>
                <w:kern w:val="0"/>
                <w:sz w:val="20"/>
                <w:szCs w:val="20"/>
              </w:rPr>
              <w:t>3.要求提供公开出版物</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楷体" w:hAnsi="楷体" w:eastAsia="楷体" w:cs="楷体"/>
                <w:color w:val="000000" w:themeColor="text1"/>
                <w:kern w:val="0"/>
                <w:sz w:val="20"/>
                <w:szCs w:val="20"/>
              </w:rPr>
              <w:t>4.无正当理由大量反复申请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楷体" w:hAnsi="楷体" w:eastAsia="楷体" w:cs="楷体"/>
                <w:color w:val="000000" w:themeColor="text1"/>
                <w:kern w:val="0"/>
                <w:sz w:val="20"/>
                <w:szCs w:val="20"/>
              </w:rPr>
              <w:t>5.要求行政机关确认或重新出具已获取信息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楷体" w:hAnsi="楷体" w:eastAsia="楷体" w:cs="楷体"/>
                <w:color w:val="000000" w:themeColor="text1"/>
                <w:kern w:val="0"/>
                <w:sz w:val="20"/>
                <w:szCs w:val="20"/>
              </w:rPr>
              <w:t>（六）其他处理</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楷体" w:hAnsi="楷体" w:eastAsia="楷体" w:cs="楷体"/>
                <w:color w:val="000000" w:themeColor="text1"/>
                <w:kern w:val="0"/>
                <w:sz w:val="20"/>
                <w:szCs w:val="20"/>
              </w:rPr>
              <w:t>（七）总计</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left"/>
              <w:rPr>
                <w:color w:val="000000" w:themeColor="text1"/>
              </w:rPr>
            </w:pPr>
            <w:r>
              <w:rPr>
                <w:rFonts w:hint="eastAsia" w:ascii="宋体" w:hAnsi="宋体" w:cs="宋体"/>
                <w:color w:val="000000" w:themeColor="text1"/>
                <w:kern w:val="0"/>
                <w:sz w:val="20"/>
                <w:szCs w:val="20"/>
              </w:rPr>
              <w:t>四、结转下年度继续办理</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cs="Calibri"/>
                <w:color w:val="000000" w:themeColor="text1"/>
                <w:kern w:val="0"/>
                <w:sz w:val="20"/>
                <w:szCs w:val="20"/>
              </w:rPr>
              <w:t>0</w:t>
            </w:r>
          </w:p>
        </w:tc>
        <w:tc>
          <w:tcPr>
            <w:tcW w:w="688" w:type="dxa"/>
            <w:tcBorders>
              <w:top w:val="single" w:color="auto" w:sz="4" w:space="0"/>
              <w:left w:val="single" w:color="auto" w:sz="8" w:space="0"/>
              <w:bottom w:val="single" w:color="auto" w:sz="4" w:space="0"/>
              <w:right w:val="single" w:color="auto" w:sz="4" w:space="0"/>
            </w:tcBorders>
            <w:shd w:val="clear" w:color="auto" w:fill="auto"/>
          </w:tcPr>
          <w:p>
            <w:pPr>
              <w:widowControl/>
              <w:jc w:val="center"/>
              <w:rPr>
                <w:rFonts w:asciiTheme="minorHAnsi" w:hAnsiTheme="minorHAnsi"/>
                <w:color w:val="000000" w:themeColor="text1"/>
                <w:sz w:val="20"/>
                <w:szCs w:val="20"/>
              </w:rPr>
            </w:pPr>
            <w:r>
              <w:rPr>
                <w:rFonts w:asciiTheme="minorHAnsi" w:hAnsiTheme="minorHAnsi"/>
                <w:color w:val="000000" w:themeColor="text1"/>
                <w:sz w:val="20"/>
                <w:szCs w:val="20"/>
              </w:rPr>
              <w:t>0</w:t>
            </w:r>
          </w:p>
        </w:tc>
      </w:tr>
    </w:tbl>
    <w:p>
      <w:pPr>
        <w:pStyle w:val="5"/>
        <w:widowControl/>
        <w:shd w:val="clear" w:color="auto" w:fill="FFFFFF"/>
        <w:spacing w:before="0" w:beforeAutospacing="0" w:after="0" w:afterAutospacing="0"/>
        <w:ind w:firstLine="420"/>
        <w:jc w:val="both"/>
        <w:rPr>
          <w:rFonts w:ascii="黑体" w:hAnsi="黑体" w:eastAsia="黑体" w:cs="宋体"/>
          <w:bCs/>
          <w:color w:val="000000" w:themeColor="text1"/>
          <w:sz w:val="32"/>
          <w:szCs w:val="32"/>
          <w:shd w:val="clear" w:color="auto" w:fill="FFFFFF"/>
        </w:rPr>
      </w:pPr>
      <w:r>
        <w:rPr>
          <w:rFonts w:hint="eastAsia" w:ascii="黑体" w:hAnsi="黑体" w:eastAsia="黑体" w:cs="宋体"/>
          <w:bCs/>
          <w:color w:val="000000" w:themeColor="text1"/>
          <w:sz w:val="32"/>
          <w:szCs w:val="32"/>
          <w:shd w:val="clear" w:color="auto" w:fill="FFFFFF"/>
        </w:rPr>
        <w:t>四、政府信息公开行政复议、行政诉讼情况</w:t>
      </w:r>
    </w:p>
    <w:p>
      <w:pPr>
        <w:pStyle w:val="5"/>
        <w:widowControl/>
        <w:shd w:val="clear" w:color="auto" w:fill="FFFFFF"/>
        <w:spacing w:before="0" w:beforeAutospacing="0" w:after="0" w:afterAutospacing="0"/>
        <w:ind w:firstLine="420"/>
        <w:jc w:val="both"/>
        <w:rPr>
          <w:rFonts w:ascii="宋体" w:hAnsi="宋体" w:cs="宋体"/>
          <w:color w:val="000000" w:themeColor="text1"/>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color w:val="000000" w:themeColor="text1"/>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cs="Calibri"/>
                <w:color w:val="000000" w:themeColor="text1"/>
                <w:kern w:val="0"/>
                <w:sz w:val="20"/>
                <w:szCs w:val="20"/>
              </w:rPr>
              <w:t> </w:t>
            </w:r>
            <w:r>
              <w:rPr>
                <w:rFonts w:hint="eastAsia" w:cs="Calibri"/>
                <w:color w:val="000000" w:themeColor="text1"/>
                <w:kern w:val="0"/>
                <w:sz w:val="20"/>
                <w:szCs w:val="20"/>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 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 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 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 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 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 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 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 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color w:val="000000" w:themeColor="text1"/>
              </w:rPr>
            </w:pPr>
            <w:r>
              <w:rPr>
                <w:rFonts w:hint="eastAsia" w:ascii="宋体" w:hAnsi="宋体" w:cs="宋体"/>
                <w:color w:val="000000" w:themeColor="text1"/>
                <w:kern w:val="0"/>
                <w:sz w:val="20"/>
                <w:szCs w:val="20"/>
              </w:rPr>
              <w:t> 0</w:t>
            </w:r>
          </w:p>
        </w:tc>
        <w:tc>
          <w:tcPr>
            <w:tcW w:w="606" w:type="dxa"/>
            <w:tcBorders>
              <w:top w:val="nil"/>
              <w:left w:val="nil"/>
              <w:bottom w:val="single" w:color="auto" w:sz="8" w:space="0"/>
              <w:right w:val="single" w:color="auto" w:sz="8" w:space="0"/>
            </w:tcBorders>
            <w:tcMar>
              <w:left w:w="108" w:type="dxa"/>
              <w:right w:w="108" w:type="dxa"/>
            </w:tcMar>
            <w:vAlign w:val="center"/>
          </w:tcPr>
          <w:p>
            <w:pPr>
              <w:rPr>
                <w:rFonts w:ascii="宋体"/>
                <w:color w:val="000000" w:themeColor="text1"/>
                <w:sz w:val="24"/>
              </w:rPr>
            </w:pPr>
            <w:r>
              <w:rPr>
                <w:rFonts w:hint="eastAsia" w:ascii="宋体"/>
                <w:color w:val="000000" w:themeColor="text1"/>
                <w:sz w:val="24"/>
              </w:rPr>
              <w:t>0</w:t>
            </w:r>
          </w:p>
        </w:tc>
      </w:tr>
    </w:tbl>
    <w:p>
      <w:pPr>
        <w:widowControl/>
        <w:shd w:val="clear" w:color="auto" w:fill="FFFFFF"/>
        <w:jc w:val="center"/>
        <w:rPr>
          <w:rFonts w:ascii="黑体" w:hAnsi="黑体" w:eastAsia="黑体" w:cs="宋体"/>
          <w:color w:val="000000" w:themeColor="text1"/>
          <w:sz w:val="32"/>
          <w:szCs w:val="32"/>
        </w:rPr>
      </w:pPr>
    </w:p>
    <w:p>
      <w:pPr>
        <w:pStyle w:val="5"/>
        <w:widowControl/>
        <w:shd w:val="clear" w:color="auto" w:fill="FFFFFF"/>
        <w:spacing w:before="0" w:beforeAutospacing="0" w:after="0" w:afterAutospacing="0"/>
        <w:ind w:firstLine="420"/>
        <w:jc w:val="both"/>
        <w:rPr>
          <w:rFonts w:ascii="黑体" w:hAnsi="黑体" w:eastAsia="黑体" w:cs="宋体"/>
          <w:bCs/>
          <w:color w:val="000000" w:themeColor="text1"/>
          <w:sz w:val="32"/>
          <w:szCs w:val="32"/>
          <w:shd w:val="clear" w:color="auto" w:fill="FFFFFF"/>
        </w:rPr>
      </w:pPr>
      <w:r>
        <w:rPr>
          <w:rFonts w:hint="eastAsia" w:ascii="黑体" w:hAnsi="黑体" w:eastAsia="黑体" w:cs="宋体"/>
          <w:bCs/>
          <w:color w:val="000000" w:themeColor="text1"/>
          <w:sz w:val="32"/>
          <w:szCs w:val="32"/>
          <w:shd w:val="clear" w:color="auto" w:fill="FFFFFF"/>
        </w:rPr>
        <w:t>五、存在的主要问题及改进情况</w:t>
      </w:r>
    </w:p>
    <w:p>
      <w:pPr>
        <w:pStyle w:val="9"/>
        <w:ind w:firstLine="640"/>
        <w:jc w:val="left"/>
        <w:rPr>
          <w:rFonts w:ascii="仿宋_GB2312" w:eastAsia="仿宋_GB2312"/>
          <w:color w:val="000000" w:themeColor="text1"/>
          <w:sz w:val="32"/>
          <w:szCs w:val="32"/>
        </w:rPr>
      </w:pPr>
      <w:r>
        <w:rPr>
          <w:rFonts w:hint="eastAsia" w:ascii="仿宋_GB2312" w:eastAsia="仿宋_GB2312"/>
          <w:color w:val="000000" w:themeColor="text1"/>
          <w:sz w:val="32"/>
          <w:szCs w:val="32"/>
        </w:rPr>
        <w:t>政务公开人员接受培训学习机会较少。近几年随着省市区对政务公开工作重视程度的不断提高，工作量不断加大，公开内容越来越细化，这就对政务公开业务人员提出更高要求，及时提升自身业务水平，参加培训和外出学习是提升业务水平的必要方式。</w:t>
      </w:r>
    </w:p>
    <w:p>
      <w:pPr>
        <w:pStyle w:val="9"/>
        <w:ind w:firstLine="640"/>
        <w:jc w:val="left"/>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改进情况：争取政策支持，多参加外出培训学习，学习先进地区工作方法。</w:t>
      </w:r>
    </w:p>
    <w:p>
      <w:pPr>
        <w:pStyle w:val="5"/>
        <w:widowControl/>
        <w:shd w:val="clear" w:color="auto" w:fill="FFFFFF"/>
        <w:spacing w:before="0" w:beforeAutospacing="0" w:after="0" w:afterAutospacing="0"/>
        <w:ind w:firstLine="420"/>
        <w:jc w:val="both"/>
        <w:rPr>
          <w:rFonts w:ascii="黑体" w:hAnsi="黑体" w:eastAsia="黑体" w:cs="宋体"/>
          <w:color w:val="000000" w:themeColor="text1"/>
          <w:sz w:val="32"/>
          <w:szCs w:val="32"/>
        </w:rPr>
      </w:pPr>
      <w:r>
        <w:rPr>
          <w:rFonts w:hint="eastAsia" w:ascii="黑体" w:hAnsi="黑体" w:eastAsia="黑体" w:cs="宋体"/>
          <w:bCs/>
          <w:color w:val="000000" w:themeColor="text1"/>
          <w:sz w:val="32"/>
          <w:szCs w:val="32"/>
          <w:shd w:val="clear" w:color="auto" w:fill="FFFFFF"/>
        </w:rPr>
        <w:t>六、其他需要报告的事项</w:t>
      </w:r>
    </w:p>
    <w:p>
      <w:pPr>
        <w:pStyle w:val="9"/>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无。</w:t>
      </w:r>
    </w:p>
    <w:p>
      <w:pPr>
        <w:pStyle w:val="9"/>
        <w:ind w:firstLine="640"/>
        <w:rPr>
          <w:rFonts w:ascii="仿宋_GB2312" w:eastAsia="仿宋_GB2312"/>
          <w:color w:val="000000"/>
          <w:sz w:val="32"/>
          <w:szCs w:val="32"/>
        </w:rPr>
      </w:pPr>
    </w:p>
    <w:p>
      <w:pPr>
        <w:pStyle w:val="9"/>
        <w:ind w:left="360" w:firstLine="0" w:firstLineChars="0"/>
        <w:jc w:val="right"/>
        <w:rPr>
          <w:rFonts w:ascii="仿宋_GB2312" w:eastAsia="仿宋_GB2312"/>
          <w:color w:val="000000"/>
          <w:sz w:val="32"/>
          <w:szCs w:val="32"/>
        </w:rPr>
      </w:pPr>
      <w:r>
        <w:rPr>
          <w:rFonts w:hint="eastAsia" w:ascii="仿宋_GB2312" w:eastAsia="仿宋_GB2312"/>
          <w:color w:val="000000"/>
          <w:sz w:val="32"/>
          <w:szCs w:val="32"/>
        </w:rPr>
        <w:t>平房区营商环境建设监督局</w:t>
      </w:r>
    </w:p>
    <w:p>
      <w:pPr>
        <w:pStyle w:val="9"/>
        <w:ind w:left="359" w:leftChars="171" w:right="640" w:firstLine="160" w:firstLineChars="50"/>
        <w:jc w:val="right"/>
        <w:rPr>
          <w:rFonts w:ascii="仿宋_GB2312" w:eastAsia="仿宋_GB2312"/>
          <w:color w:val="000000"/>
          <w:sz w:val="32"/>
          <w:szCs w:val="32"/>
        </w:rPr>
      </w:pPr>
      <w:r>
        <w:rPr>
          <w:rFonts w:hint="eastAsia" w:ascii="仿宋_GB2312" w:eastAsia="仿宋_GB2312"/>
          <w:color w:val="000000"/>
          <w:sz w:val="32"/>
          <w:szCs w:val="32"/>
        </w:rPr>
        <w:t>2020年1月29日</w:t>
      </w:r>
    </w:p>
    <w:sectPr>
      <w:pgSz w:w="11906" w:h="16838"/>
      <w:pgMar w:top="2098" w:right="1800"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F1A99"/>
    <w:multiLevelType w:val="multilevel"/>
    <w:tmpl w:val="087F1A99"/>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Q2YWI2NTljY2RjNGRmODFkZTI5NDhkMjhlMjc0N2IifQ=="/>
  </w:docVars>
  <w:rsids>
    <w:rsidRoot w:val="004649C0"/>
    <w:rsid w:val="0000007B"/>
    <w:rsid w:val="00002BEA"/>
    <w:rsid w:val="00010043"/>
    <w:rsid w:val="000206F1"/>
    <w:rsid w:val="0005237F"/>
    <w:rsid w:val="000B3694"/>
    <w:rsid w:val="000B75D3"/>
    <w:rsid w:val="000E408D"/>
    <w:rsid w:val="000E519F"/>
    <w:rsid w:val="00121A07"/>
    <w:rsid w:val="001262BF"/>
    <w:rsid w:val="00135B54"/>
    <w:rsid w:val="00143008"/>
    <w:rsid w:val="0017181B"/>
    <w:rsid w:val="001719B1"/>
    <w:rsid w:val="001762B0"/>
    <w:rsid w:val="00182043"/>
    <w:rsid w:val="00195E22"/>
    <w:rsid w:val="001B231A"/>
    <w:rsid w:val="001C4204"/>
    <w:rsid w:val="001F4486"/>
    <w:rsid w:val="0022537E"/>
    <w:rsid w:val="00253AB1"/>
    <w:rsid w:val="0025662C"/>
    <w:rsid w:val="00265593"/>
    <w:rsid w:val="00277A8E"/>
    <w:rsid w:val="00287679"/>
    <w:rsid w:val="002F7D57"/>
    <w:rsid w:val="003014FE"/>
    <w:rsid w:val="00325A04"/>
    <w:rsid w:val="0038003D"/>
    <w:rsid w:val="003857C4"/>
    <w:rsid w:val="003951C2"/>
    <w:rsid w:val="003A6082"/>
    <w:rsid w:val="003D2539"/>
    <w:rsid w:val="004268AE"/>
    <w:rsid w:val="0044279D"/>
    <w:rsid w:val="0045359A"/>
    <w:rsid w:val="004649C0"/>
    <w:rsid w:val="0047391A"/>
    <w:rsid w:val="00477CB2"/>
    <w:rsid w:val="004B3C4A"/>
    <w:rsid w:val="004C197E"/>
    <w:rsid w:val="004C567A"/>
    <w:rsid w:val="004D0F69"/>
    <w:rsid w:val="004D3424"/>
    <w:rsid w:val="004E5DB3"/>
    <w:rsid w:val="00533D94"/>
    <w:rsid w:val="0056169B"/>
    <w:rsid w:val="005840C9"/>
    <w:rsid w:val="00590443"/>
    <w:rsid w:val="00596355"/>
    <w:rsid w:val="005977B2"/>
    <w:rsid w:val="005B0B46"/>
    <w:rsid w:val="005D4811"/>
    <w:rsid w:val="005E75A2"/>
    <w:rsid w:val="00605B06"/>
    <w:rsid w:val="00610583"/>
    <w:rsid w:val="00613494"/>
    <w:rsid w:val="00632BAE"/>
    <w:rsid w:val="006659EF"/>
    <w:rsid w:val="0067630D"/>
    <w:rsid w:val="0068110B"/>
    <w:rsid w:val="0068368F"/>
    <w:rsid w:val="006855EC"/>
    <w:rsid w:val="0069402C"/>
    <w:rsid w:val="006A21E6"/>
    <w:rsid w:val="006B1145"/>
    <w:rsid w:val="006C75A8"/>
    <w:rsid w:val="006E4A9A"/>
    <w:rsid w:val="006F7A43"/>
    <w:rsid w:val="00743D31"/>
    <w:rsid w:val="0074468F"/>
    <w:rsid w:val="00745E8D"/>
    <w:rsid w:val="007548AC"/>
    <w:rsid w:val="00775889"/>
    <w:rsid w:val="0079028B"/>
    <w:rsid w:val="007B66C5"/>
    <w:rsid w:val="007C1A04"/>
    <w:rsid w:val="007D0831"/>
    <w:rsid w:val="007E6D76"/>
    <w:rsid w:val="007F53AC"/>
    <w:rsid w:val="00814419"/>
    <w:rsid w:val="00817354"/>
    <w:rsid w:val="00822A90"/>
    <w:rsid w:val="00833D45"/>
    <w:rsid w:val="0086468F"/>
    <w:rsid w:val="008837A1"/>
    <w:rsid w:val="008B1B3B"/>
    <w:rsid w:val="008D098E"/>
    <w:rsid w:val="00903F8E"/>
    <w:rsid w:val="00906395"/>
    <w:rsid w:val="00915881"/>
    <w:rsid w:val="00936E01"/>
    <w:rsid w:val="00970F16"/>
    <w:rsid w:val="009902DC"/>
    <w:rsid w:val="009A152A"/>
    <w:rsid w:val="009A273A"/>
    <w:rsid w:val="009C7E4F"/>
    <w:rsid w:val="009E4ED4"/>
    <w:rsid w:val="00A10602"/>
    <w:rsid w:val="00A16BAE"/>
    <w:rsid w:val="00A46AEB"/>
    <w:rsid w:val="00A57596"/>
    <w:rsid w:val="00AA3A0B"/>
    <w:rsid w:val="00AD7D6B"/>
    <w:rsid w:val="00AE089E"/>
    <w:rsid w:val="00AE3C73"/>
    <w:rsid w:val="00AE5DF4"/>
    <w:rsid w:val="00AF0B45"/>
    <w:rsid w:val="00B1531E"/>
    <w:rsid w:val="00B1646E"/>
    <w:rsid w:val="00B27622"/>
    <w:rsid w:val="00B8331A"/>
    <w:rsid w:val="00BC23BB"/>
    <w:rsid w:val="00BC3B0D"/>
    <w:rsid w:val="00BC595F"/>
    <w:rsid w:val="00BD6DBF"/>
    <w:rsid w:val="00BD7455"/>
    <w:rsid w:val="00BE054A"/>
    <w:rsid w:val="00C465AC"/>
    <w:rsid w:val="00D00A44"/>
    <w:rsid w:val="00D270E1"/>
    <w:rsid w:val="00D500BA"/>
    <w:rsid w:val="00D54448"/>
    <w:rsid w:val="00D64C95"/>
    <w:rsid w:val="00D808D3"/>
    <w:rsid w:val="00DA61D2"/>
    <w:rsid w:val="00DB6D96"/>
    <w:rsid w:val="00DC657F"/>
    <w:rsid w:val="00DD4CDD"/>
    <w:rsid w:val="00DD61FD"/>
    <w:rsid w:val="00DE3A22"/>
    <w:rsid w:val="00DE7ECF"/>
    <w:rsid w:val="00DF0FF1"/>
    <w:rsid w:val="00DF5F39"/>
    <w:rsid w:val="00E01625"/>
    <w:rsid w:val="00E22D24"/>
    <w:rsid w:val="00E24094"/>
    <w:rsid w:val="00E40E86"/>
    <w:rsid w:val="00E54B12"/>
    <w:rsid w:val="00E666C4"/>
    <w:rsid w:val="00E771FB"/>
    <w:rsid w:val="00EF5A2D"/>
    <w:rsid w:val="00F00155"/>
    <w:rsid w:val="00F07C14"/>
    <w:rsid w:val="00F56038"/>
    <w:rsid w:val="00F7005A"/>
    <w:rsid w:val="00F90E46"/>
    <w:rsid w:val="00FA0123"/>
    <w:rsid w:val="00FD41E4"/>
    <w:rsid w:val="00FE6C37"/>
    <w:rsid w:val="2C2D4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semiHidden/>
    <w:unhideWhenUsed/>
    <w:qFormat/>
    <w:uiPriority w:val="99"/>
    <w:pPr>
      <w:tabs>
        <w:tab w:val="center" w:pos="4153"/>
        <w:tab w:val="right" w:pos="8306"/>
      </w:tabs>
      <w:snapToGrid w:val="0"/>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0"/>
    <w:semiHidden/>
    <w:unhideWhenUsed/>
    <w:qFormat/>
    <w:uiPriority w:val="99"/>
    <w:pPr>
      <w:snapToGrid w:val="0"/>
      <w:jc w:val="left"/>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footnote reference"/>
    <w:basedOn w:val="7"/>
    <w:semiHidden/>
    <w:unhideWhenUsed/>
    <w:uiPriority w:val="99"/>
    <w:rPr>
      <w:vertAlign w:val="superscript"/>
    </w:rPr>
  </w:style>
  <w:style w:type="paragraph" w:styleId="9">
    <w:name w:val="List Paragraph"/>
    <w:basedOn w:val="1"/>
    <w:qFormat/>
    <w:uiPriority w:val="34"/>
    <w:pPr>
      <w:ind w:firstLine="420" w:firstLineChars="200"/>
    </w:pPr>
  </w:style>
  <w:style w:type="character" w:customStyle="1" w:styleId="10">
    <w:name w:val="脚注文本 Char"/>
    <w:basedOn w:val="7"/>
    <w:link w:val="4"/>
    <w:semiHidden/>
    <w:uiPriority w:val="99"/>
    <w:rPr>
      <w:rFonts w:ascii="Calibri" w:hAnsi="Calibri" w:eastAsia="宋体" w:cs="Times New Roman"/>
      <w:sz w:val="18"/>
      <w:szCs w:val="18"/>
    </w:rPr>
  </w:style>
  <w:style w:type="character" w:customStyle="1" w:styleId="11">
    <w:name w:val="页眉 Char"/>
    <w:basedOn w:val="7"/>
    <w:link w:val="3"/>
    <w:semiHidden/>
    <w:uiPriority w:val="99"/>
    <w:rPr>
      <w:rFonts w:ascii="Calibri" w:hAnsi="Calibri" w:eastAsia="宋体" w:cs="Times New Roman"/>
      <w:sz w:val="18"/>
      <w:szCs w:val="18"/>
    </w:rPr>
  </w:style>
  <w:style w:type="character" w:customStyle="1" w:styleId="12">
    <w:name w:val="页脚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A070C-8BF8-40B9-B1FC-D0177ADB1C70}">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3575</Words>
  <Characters>3720</Characters>
  <Lines>30</Lines>
  <Paragraphs>8</Paragraphs>
  <TotalTime>31</TotalTime>
  <ScaleCrop>false</ScaleCrop>
  <LinksUpToDate>false</LinksUpToDate>
  <CharactersWithSpaces>3915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2021-04-19T06:17:00Z</dcterms:created>
  <dc:creator>wang</dc:creator>
  <cp:lastModifiedBy>WPS_1632797724</cp:lastModifiedBy>
  <dcterms:modified xsi:type="dcterms:W3CDTF">2024-05-31T07:24:38Z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DAAAE2432FF74CB4ABF19E8A78DA2C7A_12</vt:lpwstr>
  </property>
</Properties>
</file>